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A2F3" w14:textId="2BCA12E8" w:rsidR="00C75FFA" w:rsidRDefault="00580BB3">
      <w:pPr>
        <w:widowControl/>
        <w:jc w:val="center"/>
      </w:pPr>
      <w:r w:rsidRPr="008452C4">
        <w:rPr>
          <w:rFonts w:ascii="楷体" w:eastAsia="楷体" w:hAnsi="楷体" w:cs="楷体" w:hint="eastAsia"/>
          <w:b/>
          <w:bCs/>
          <w:kern w:val="0"/>
          <w:sz w:val="28"/>
          <w:szCs w:val="28"/>
          <w:lang w:bidi="ar"/>
        </w:rPr>
        <w:t>《中华疾病控制杂志》科研工作站开放课题管理办法</w:t>
      </w:r>
    </w:p>
    <w:p w14:paraId="46F0F3DB" w14:textId="01EF6FB1" w:rsidR="00C75FFA" w:rsidRDefault="00580BB3">
      <w:pPr>
        <w:widowControl/>
        <w:numPr>
          <w:ilvl w:val="0"/>
          <w:numId w:val="1"/>
        </w:numPr>
        <w:jc w:val="left"/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  <w:t>《中华疾病控制杂志》科研工作站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 xml:space="preserve">为从事公共卫生、基础研究与临床研究的科研人员提供科研场所及课题经费，鼓励新思想、新方法及交叉学科的发展，提倡创新、求实、开放、交流的学术风气． </w:t>
      </w:r>
    </w:p>
    <w:p w14:paraId="24C7FF83" w14:textId="599C80C9" w:rsidR="00C75FFA" w:rsidRDefault="00580BB3">
      <w:pPr>
        <w:widowControl/>
        <w:numPr>
          <w:ilvl w:val="0"/>
          <w:numId w:val="1"/>
        </w:numPr>
        <w:jc w:val="left"/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开放课题基金面向合作单位从事基础理论研究和应用研究的</w:t>
      </w:r>
      <w:r w:rsidR="0021301B"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人员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 xml:space="preserve">。凡具备申请条件的研究人员均可提出申请。 </w:t>
      </w:r>
    </w:p>
    <w:p w14:paraId="27A20E19" w14:textId="77777777" w:rsidR="00C75FFA" w:rsidRDefault="00580BB3">
      <w:pPr>
        <w:widowControl/>
        <w:numPr>
          <w:ilvl w:val="0"/>
          <w:numId w:val="1"/>
        </w:numPr>
        <w:jc w:val="left"/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 xml:space="preserve">开放课题基金申请应符合工作站当年发布的开放课题基金申请指南，其研究内容必须符合开放课题基金的资助范围。 </w:t>
      </w:r>
    </w:p>
    <w:p w14:paraId="0F038FD4" w14:textId="77777777" w:rsidR="00C75FFA" w:rsidRDefault="00580BB3">
      <w:pPr>
        <w:widowControl/>
        <w:numPr>
          <w:ilvl w:val="0"/>
          <w:numId w:val="1"/>
        </w:numPr>
        <w:jc w:val="left"/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申请者应得到所在单位或部门的同意。</w:t>
      </w:r>
    </w:p>
    <w:p w14:paraId="16B17B14" w14:textId="4524E89E" w:rsidR="00C75FFA" w:rsidRDefault="00580BB3">
      <w:pPr>
        <w:widowControl/>
        <w:numPr>
          <w:ilvl w:val="0"/>
          <w:numId w:val="1"/>
        </w:numPr>
        <w:jc w:val="left"/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开放课题基金的申请者一般应是</w:t>
      </w:r>
      <w:r w:rsidR="0021301B"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单位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在职的有</w:t>
      </w:r>
      <w:r w:rsidR="00AC6EA8"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副高级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以上职称或已获得博士学位的研究人员。</w:t>
      </w:r>
      <w:r w:rsidR="00AC6EA8"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其他申请者需要副高级职称以上人员二人书面推荐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 xml:space="preserve">优秀青年科技工作者的申请不受资历限制。 </w:t>
      </w:r>
    </w:p>
    <w:p w14:paraId="31CB778C" w14:textId="77777777" w:rsidR="00C75FFA" w:rsidRDefault="00580BB3">
      <w:pPr>
        <w:widowControl/>
        <w:numPr>
          <w:ilvl w:val="0"/>
          <w:numId w:val="1"/>
        </w:numPr>
        <w:jc w:val="left"/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 xml:space="preserve">申请开放课题基金必须按规定的格式实事求是地填写“《中华疾病控制杂志》科研工作站开放课题基金申请书”。 </w:t>
      </w:r>
    </w:p>
    <w:p w14:paraId="65B6020F" w14:textId="77777777" w:rsidR="00C75FFA" w:rsidRDefault="00580BB3">
      <w:pPr>
        <w:widowControl/>
        <w:numPr>
          <w:ilvl w:val="0"/>
          <w:numId w:val="1"/>
        </w:numPr>
        <w:jc w:val="left"/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 xml:space="preserve">开放课题基金评审期一般为 </w:t>
      </w:r>
      <w:r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  <w:t xml:space="preserve">1 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 xml:space="preserve">个月。 </w:t>
      </w:r>
    </w:p>
    <w:p w14:paraId="1279EF3D" w14:textId="77777777" w:rsidR="00C75FFA" w:rsidRDefault="00580BB3">
      <w:pPr>
        <w:widowControl/>
        <w:numPr>
          <w:ilvl w:val="0"/>
          <w:numId w:val="1"/>
        </w:numPr>
        <w:jc w:val="left"/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开放课题基金的确定，按照</w:t>
      </w:r>
      <w:r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  <w:t>“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公平竞争，择优支持</w:t>
      </w:r>
      <w:r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  <w:t>”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 xml:space="preserve">的原则，经科研工作站技术委员会审查，并经工作站批准后立项。 </w:t>
      </w:r>
    </w:p>
    <w:p w14:paraId="6ADBBF50" w14:textId="77777777" w:rsidR="00C75FFA" w:rsidRDefault="00580BB3">
      <w:pPr>
        <w:widowControl/>
        <w:numPr>
          <w:ilvl w:val="0"/>
          <w:numId w:val="1"/>
        </w:numPr>
        <w:jc w:val="left"/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 xml:space="preserve">评定结果由工作站签发。获得资助的申情者，接到通知后，应向本工作站提交课题实施计划。 </w:t>
      </w:r>
    </w:p>
    <w:p w14:paraId="0B475D32" w14:textId="77777777" w:rsidR="00C75FFA" w:rsidRDefault="00580BB3">
      <w:pPr>
        <w:widowControl/>
        <w:numPr>
          <w:ilvl w:val="0"/>
          <w:numId w:val="1"/>
        </w:numPr>
        <w:jc w:val="left"/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 xml:space="preserve">工作站项目管理委员会对每项开放课题实施管理。管理的内容有： </w:t>
      </w:r>
    </w:p>
    <w:p w14:paraId="4BCF07D4" w14:textId="77777777" w:rsidR="00C75FFA" w:rsidRDefault="00580BB3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（</w:t>
      </w:r>
      <w:r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  <w:t>1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 xml:space="preserve">）课题经费的使用。 </w:t>
      </w:r>
    </w:p>
    <w:p w14:paraId="606C207D" w14:textId="77777777" w:rsidR="00C75FFA" w:rsidRDefault="00580BB3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lastRenderedPageBreak/>
        <w:t>（</w:t>
      </w:r>
      <w:r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  <w:t>2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 xml:space="preserve">）检查课题的进度与质量。 </w:t>
      </w:r>
    </w:p>
    <w:p w14:paraId="2F273866" w14:textId="77777777" w:rsidR="00C75FFA" w:rsidRDefault="00580BB3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（</w:t>
      </w:r>
      <w:r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  <w:t>3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 xml:space="preserve">）课题验收。 </w:t>
      </w:r>
    </w:p>
    <w:p w14:paraId="0EAB647E" w14:textId="77777777" w:rsidR="00C75FFA" w:rsidRDefault="00580BB3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（</w:t>
      </w:r>
      <w:r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  <w:t>4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 xml:space="preserve">）向工作站、合作单位或上级有关部门上报科研成果。 </w:t>
      </w:r>
    </w:p>
    <w:p w14:paraId="603AFB88" w14:textId="141BBD0C" w:rsidR="00C75FFA" w:rsidRDefault="00580BB3">
      <w:pPr>
        <w:widowControl/>
        <w:numPr>
          <w:ilvl w:val="0"/>
          <w:numId w:val="1"/>
        </w:numPr>
        <w:jc w:val="left"/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 xml:space="preserve">在课题实施过程中，课题研究人员每年向项目管理委员会提交一次课题进展报告。项目管理委员会对报告审查后提出评审意见。 </w:t>
      </w:r>
    </w:p>
    <w:p w14:paraId="51D06E5E" w14:textId="77777777" w:rsidR="00C75FFA" w:rsidRDefault="00580BB3">
      <w:pPr>
        <w:widowControl/>
        <w:numPr>
          <w:ilvl w:val="0"/>
          <w:numId w:val="1"/>
        </w:numPr>
        <w:jc w:val="left"/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 xml:space="preserve">课题执行过程中，如需改变或推迟计划，应征得项目管理委员会的同意。 </w:t>
      </w:r>
    </w:p>
    <w:p w14:paraId="4426DD72" w14:textId="77777777" w:rsidR="00C75FFA" w:rsidRDefault="00580BB3">
      <w:pPr>
        <w:widowControl/>
        <w:numPr>
          <w:ilvl w:val="0"/>
          <w:numId w:val="1"/>
        </w:numPr>
        <w:jc w:val="left"/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 xml:space="preserve">课题研究若偏离原计划方向，工作站会将予以指正，不服从者，工作站有权中止开放课题基金的使用。 </w:t>
      </w:r>
    </w:p>
    <w:p w14:paraId="220A3B54" w14:textId="77777777" w:rsidR="00C75FFA" w:rsidRDefault="00580BB3">
      <w:pPr>
        <w:widowControl/>
        <w:numPr>
          <w:ilvl w:val="0"/>
          <w:numId w:val="1"/>
        </w:numPr>
        <w:jc w:val="left"/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 xml:space="preserve">课题结束后，应于三个月内结题，并向项目管理委员会提交课题档案，包括研究工作总结、学术论文、研究报告、以及相关的原始资料，逾期不按要求提交者，取消今后工作站开放课题基金的资格，并通报其工作单位。 </w:t>
      </w:r>
    </w:p>
    <w:p w14:paraId="7D92C1FB" w14:textId="77777777" w:rsidR="00C75FFA" w:rsidRDefault="00580BB3">
      <w:pPr>
        <w:widowControl/>
        <w:numPr>
          <w:ilvl w:val="0"/>
          <w:numId w:val="1"/>
        </w:numPr>
        <w:jc w:val="left"/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</w:pPr>
      <w:bookmarkStart w:id="0" w:name="_Hlk110412686"/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本工作站开放基金的研究成果，主要归申请者所在单位所有，甲方与乙方合作获得的科研成果归双方共有。</w:t>
      </w:r>
      <w:bookmarkEnd w:id="0"/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0228AA6E" w14:textId="77777777" w:rsidR="00C75FFA" w:rsidRDefault="00580BB3">
      <w:pPr>
        <w:widowControl/>
        <w:numPr>
          <w:ilvl w:val="0"/>
          <w:numId w:val="1"/>
        </w:numPr>
        <w:jc w:val="left"/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 xml:space="preserve">对成绩突出的课题研究人员，工作站将给予一定奖励。 </w:t>
      </w:r>
    </w:p>
    <w:p w14:paraId="6D1EF555" w14:textId="3588CA74" w:rsidR="00C75FFA" w:rsidRDefault="00580BB3">
      <w:pPr>
        <w:widowControl/>
        <w:numPr>
          <w:ilvl w:val="0"/>
          <w:numId w:val="1"/>
        </w:numPr>
        <w:jc w:val="left"/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 xml:space="preserve">每项开放课题的资助金额一般为 </w:t>
      </w:r>
      <w:r w:rsidR="00BF6E9D"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  <w:t>4-8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 xml:space="preserve">万元，每项开放课题的资助时间一般为 </w:t>
      </w:r>
      <w:r w:rsidR="008452C4"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  <w:t>2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 xml:space="preserve">年。 </w:t>
      </w:r>
    </w:p>
    <w:p w14:paraId="57B6A0A3" w14:textId="6E5ECD2B" w:rsidR="00C75FFA" w:rsidRDefault="00580BB3">
      <w:pPr>
        <w:widowControl/>
        <w:numPr>
          <w:ilvl w:val="0"/>
          <w:numId w:val="1"/>
        </w:numPr>
        <w:jc w:val="left"/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课题经费直接下达</w:t>
      </w:r>
      <w:r w:rsidR="008452C4"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至立项单位，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课题</w:t>
      </w:r>
      <w:r w:rsidR="008452C4"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经费由项目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负责人</w:t>
      </w:r>
      <w:r w:rsidR="008452C4"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统筹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。</w:t>
      </w:r>
    </w:p>
    <w:p w14:paraId="143D6735" w14:textId="77777777" w:rsidR="00C75FFA" w:rsidRDefault="00580BB3">
      <w:pPr>
        <w:widowControl/>
        <w:numPr>
          <w:ilvl w:val="0"/>
          <w:numId w:val="1"/>
        </w:numPr>
        <w:jc w:val="left"/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lastRenderedPageBreak/>
        <w:t xml:space="preserve">项目经费首次下拨时间为课题被批准后的一个月内。课题每进行半年，项目管理委员会根据课题研究人员提交的课题进展报告进行评审。 </w:t>
      </w:r>
    </w:p>
    <w:p w14:paraId="12AD1581" w14:textId="77777777" w:rsidR="00C75FFA" w:rsidRDefault="00580BB3">
      <w:pPr>
        <w:widowControl/>
        <w:numPr>
          <w:ilvl w:val="0"/>
          <w:numId w:val="1"/>
        </w:numPr>
        <w:jc w:val="left"/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课题</w:t>
      </w:r>
      <w:r w:rsidRPr="008452C4"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经费开支的范围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如下：</w:t>
      </w:r>
      <w:r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  <w:t xml:space="preserve"> </w:t>
      </w:r>
    </w:p>
    <w:p w14:paraId="151EA0A6" w14:textId="45F1E069" w:rsidR="00C75FFA" w:rsidRDefault="00580BB3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（</w:t>
      </w:r>
      <w:r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  <w:t>1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）</w:t>
      </w:r>
      <w:r w:rsidR="00AC6EA8"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业务费（包括材料费、测试化验加工费等相关费用）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 xml:space="preserve">。 </w:t>
      </w:r>
    </w:p>
    <w:p w14:paraId="20EDC1DE" w14:textId="137A8555" w:rsidR="00C75FFA" w:rsidRDefault="00580BB3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（</w:t>
      </w:r>
      <w:r w:rsidR="00AC6EA8"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  <w:t>2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）</w:t>
      </w:r>
      <w:r w:rsidR="00AC6EA8" w:rsidRPr="008452C4"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  <w:t>出版/文献/知识产权事务费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 xml:space="preserve">。 </w:t>
      </w:r>
    </w:p>
    <w:p w14:paraId="5C332AC7" w14:textId="182E0B21" w:rsidR="00C75FFA" w:rsidRDefault="00580BB3">
      <w:pPr>
        <w:widowControl/>
        <w:jc w:val="left"/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（</w:t>
      </w:r>
      <w:r w:rsidR="00AC6EA8">
        <w:rPr>
          <w:rFonts w:ascii="Arial" w:eastAsia="宋体" w:hAnsi="Arial" w:cs="Arial"/>
          <w:color w:val="000000"/>
          <w:kern w:val="0"/>
          <w:sz w:val="28"/>
          <w:szCs w:val="28"/>
          <w:lang w:bidi="ar"/>
        </w:rPr>
        <w:t>3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）</w:t>
      </w:r>
      <w:r w:rsidR="00AC6EA8"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差旅费、会议费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2FDA4A60" w14:textId="2E270B5F" w:rsidR="00AC6EA8" w:rsidRDefault="00AC6EA8">
      <w:pPr>
        <w:widowControl/>
        <w:jc w:val="left"/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（4）劳务费</w:t>
      </w:r>
    </w:p>
    <w:p w14:paraId="231B8F77" w14:textId="77777777" w:rsidR="00C75FFA" w:rsidRDefault="00580BB3">
      <w:pPr>
        <w:widowControl/>
        <w:numPr>
          <w:ilvl w:val="0"/>
          <w:numId w:val="1"/>
        </w:numPr>
        <w:jc w:val="left"/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 xml:space="preserve">利用开放课题基金购买的仪器设备、实验材料及办公用品等归本工作站所有。任何人不得私自占有或转让。 </w:t>
      </w:r>
    </w:p>
    <w:p w14:paraId="735B8B97" w14:textId="712B78E6" w:rsidR="00C75FFA" w:rsidRDefault="00580BB3">
      <w:pPr>
        <w:widowControl/>
        <w:numPr>
          <w:ilvl w:val="0"/>
          <w:numId w:val="1"/>
        </w:numPr>
        <w:jc w:val="left"/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 xml:space="preserve">课题结束后，节余经费的 </w:t>
      </w:r>
      <w:r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  <w:t>40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％由工作站收归入工作站基金，</w:t>
      </w:r>
      <w:r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  <w:t>60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 xml:space="preserve">％留课题组继续使用。对节约经费又能较好完成课题计划者，工作站将在节余经费中给予一定的奖励． </w:t>
      </w:r>
    </w:p>
    <w:p w14:paraId="1A070503" w14:textId="77777777" w:rsidR="00C75FFA" w:rsidRDefault="00580BB3">
      <w:pPr>
        <w:widowControl/>
        <w:numPr>
          <w:ilvl w:val="0"/>
          <w:numId w:val="1"/>
        </w:numPr>
        <w:jc w:val="left"/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>其他解释权归</w:t>
      </w:r>
      <w:r>
        <w:rPr>
          <w:rFonts w:ascii="楷体" w:eastAsia="楷体" w:hAnsi="楷体" w:cs="楷体"/>
          <w:color w:val="000000"/>
          <w:kern w:val="0"/>
          <w:sz w:val="28"/>
          <w:szCs w:val="28"/>
          <w:lang w:bidi="ar"/>
        </w:rPr>
        <w:t>《中华疾病控制杂志》科研工作站</w:t>
      </w:r>
      <w:r>
        <w:rPr>
          <w:rFonts w:ascii="楷体" w:eastAsia="楷体" w:hAnsi="楷体" w:cs="楷体" w:hint="eastAsia"/>
          <w:color w:val="000000"/>
          <w:kern w:val="0"/>
          <w:sz w:val="28"/>
          <w:szCs w:val="28"/>
          <w:lang w:bidi="ar"/>
        </w:rPr>
        <w:t xml:space="preserve">所有。 </w:t>
      </w:r>
    </w:p>
    <w:p w14:paraId="1A57FFF6" w14:textId="77777777" w:rsidR="00C75FFA" w:rsidRDefault="00C75FFA"/>
    <w:sectPr w:rsidR="00C75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1B01F" w14:textId="77777777" w:rsidR="00B6650B" w:rsidRDefault="00B6650B" w:rsidP="00AC6EA8">
      <w:r>
        <w:separator/>
      </w:r>
    </w:p>
  </w:endnote>
  <w:endnote w:type="continuationSeparator" w:id="0">
    <w:p w14:paraId="081B22E5" w14:textId="77777777" w:rsidR="00B6650B" w:rsidRDefault="00B6650B" w:rsidP="00AC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2C65" w14:textId="77777777" w:rsidR="00B6650B" w:rsidRDefault="00B6650B" w:rsidP="00AC6EA8">
      <w:r>
        <w:separator/>
      </w:r>
    </w:p>
  </w:footnote>
  <w:footnote w:type="continuationSeparator" w:id="0">
    <w:p w14:paraId="2648CD9C" w14:textId="77777777" w:rsidR="00B6650B" w:rsidRDefault="00B6650B" w:rsidP="00AC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E96C5B"/>
    <w:multiLevelType w:val="singleLevel"/>
    <w:tmpl w:val="B8E96C5B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 w16cid:durableId="72313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AwNTVmZWViMzBkOTk5ODkxN2ZlMjM4NDdhZTgxMWUifQ=="/>
  </w:docVars>
  <w:rsids>
    <w:rsidRoot w:val="00C75FFA"/>
    <w:rsid w:val="001A2FF5"/>
    <w:rsid w:val="0021301B"/>
    <w:rsid w:val="005426A5"/>
    <w:rsid w:val="00580BB3"/>
    <w:rsid w:val="00636182"/>
    <w:rsid w:val="006A46EA"/>
    <w:rsid w:val="00704E0F"/>
    <w:rsid w:val="008452C4"/>
    <w:rsid w:val="009D0CBF"/>
    <w:rsid w:val="00AA0B5B"/>
    <w:rsid w:val="00AC6EA8"/>
    <w:rsid w:val="00B6650B"/>
    <w:rsid w:val="00B80497"/>
    <w:rsid w:val="00BD3E29"/>
    <w:rsid w:val="00BF6E9D"/>
    <w:rsid w:val="00C75FFA"/>
    <w:rsid w:val="00FD7D40"/>
    <w:rsid w:val="1BA31E76"/>
    <w:rsid w:val="1E704E22"/>
    <w:rsid w:val="411347DF"/>
    <w:rsid w:val="69FA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94E7A"/>
  <w15:docId w15:val="{8871C755-078D-4FE2-8681-C9AA4680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80BB3"/>
    <w:rPr>
      <w:sz w:val="18"/>
      <w:szCs w:val="18"/>
    </w:rPr>
  </w:style>
  <w:style w:type="character" w:customStyle="1" w:styleId="a4">
    <w:name w:val="批注框文本 字符"/>
    <w:basedOn w:val="a0"/>
    <w:link w:val="a3"/>
    <w:rsid w:val="00580B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rsid w:val="00AC6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C6E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AC6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C6E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Revision"/>
    <w:hidden/>
    <w:uiPriority w:val="99"/>
    <w:semiHidden/>
    <w:rsid w:val="008452C4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15</cp:revision>
  <dcterms:created xsi:type="dcterms:W3CDTF">2022-07-03T03:32:00Z</dcterms:created>
  <dcterms:modified xsi:type="dcterms:W3CDTF">2022-08-26T09:44:00Z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D3C9000DBDD146E990AFA4E77F250BB8</vt:lpwstr>
  </property>
</Properties>
</file>